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FF" w:rsidRDefault="00F22AFF" w:rsidP="00F22AFF">
      <w:pPr>
        <w:pStyle w:val="1"/>
        <w:shd w:val="clear" w:color="auto" w:fill="auto"/>
        <w:tabs>
          <w:tab w:val="right" w:pos="9510"/>
          <w:tab w:val="right" w:pos="9971"/>
        </w:tabs>
        <w:spacing w:after="512" w:line="210" w:lineRule="exact"/>
        <w:ind w:left="420"/>
        <w:jc w:val="center"/>
      </w:pPr>
      <w:r>
        <w:t xml:space="preserve">Договор </w:t>
      </w:r>
      <w:r w:rsidR="00176ABA">
        <w:t>присоединения</w:t>
      </w:r>
    </w:p>
    <w:p w:rsidR="00C72241" w:rsidRDefault="00AA1F2F" w:rsidP="00AA1F2F">
      <w:pPr>
        <w:pStyle w:val="1"/>
        <w:shd w:val="clear" w:color="auto" w:fill="auto"/>
        <w:tabs>
          <w:tab w:val="right" w:pos="9356"/>
        </w:tabs>
        <w:spacing w:after="512" w:line="210" w:lineRule="exact"/>
      </w:pPr>
      <w:r>
        <w:t>г. Москва</w:t>
      </w:r>
      <w:r>
        <w:tab/>
      </w:r>
      <w:r w:rsidR="00364933">
        <w:t>2016</w:t>
      </w:r>
      <w:r w:rsidR="00F22AFF">
        <w:t xml:space="preserve"> год</w:t>
      </w:r>
    </w:p>
    <w:p w:rsidR="00C72241" w:rsidRDefault="004A246E" w:rsidP="00AA1F2F">
      <w:pPr>
        <w:pStyle w:val="1"/>
        <w:shd w:val="clear" w:color="auto" w:fill="auto"/>
        <w:tabs>
          <w:tab w:val="left" w:pos="9072"/>
        </w:tabs>
        <w:spacing w:after="0" w:line="276" w:lineRule="auto"/>
      </w:pPr>
      <w:r>
        <w:t>АО «Аналитический Центр», именуемое в дальнейшем «Поставщик», в лице Генерального Директора Белоногова Саввы Юрьевича, действующего на основании Устава, с одной стороны, и</w:t>
      </w:r>
      <w:r w:rsidR="00364933" w:rsidRPr="00364933">
        <w:rPr>
          <w:highlight w:val="yellow"/>
        </w:rPr>
        <w:t>________________</w:t>
      </w:r>
      <w:r>
        <w:t>, именуемое в дальнейшем «Покупатель», в лице</w:t>
      </w:r>
      <w:r w:rsidR="00364933" w:rsidRPr="00364933">
        <w:rPr>
          <w:highlight w:val="yellow"/>
        </w:rPr>
        <w:t>______________</w:t>
      </w:r>
      <w:r w:rsidRPr="00364933">
        <w:rPr>
          <w:highlight w:val="yellow"/>
        </w:rPr>
        <w:t>,</w:t>
      </w:r>
      <w:r w:rsidR="00364933">
        <w:t xml:space="preserve"> действующего на основании </w:t>
      </w:r>
      <w:r w:rsidR="00364933" w:rsidRPr="00364933">
        <w:rPr>
          <w:highlight w:val="yellow"/>
        </w:rPr>
        <w:t>_________</w:t>
      </w:r>
      <w:r w:rsidRPr="00364933">
        <w:rPr>
          <w:highlight w:val="yellow"/>
        </w:rPr>
        <w:t>,</w:t>
      </w:r>
      <w:r>
        <w:t xml:space="preserve"> с другой стороны, совместно именуемые «Стороны», заключили настоящий договор, именуемый в дальнейшем «Договор», о нижеследующем:</w:t>
      </w:r>
    </w:p>
    <w:p w:rsidR="009B3222" w:rsidRDefault="009B3222" w:rsidP="00AA1F2F">
      <w:pPr>
        <w:pStyle w:val="1"/>
        <w:shd w:val="clear" w:color="auto" w:fill="auto"/>
        <w:spacing w:after="0" w:line="276" w:lineRule="auto"/>
      </w:pPr>
    </w:p>
    <w:p w:rsidR="00C72241" w:rsidRDefault="004A246E" w:rsidP="00AA1F2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Предмет Договора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 xml:space="preserve">Поставщик обязуется поставить по номенклатуре и в количестве на основании Заявки, полученной от Покупателя, а Покупатель - принять и оплатить Товар: </w:t>
      </w:r>
      <w:r>
        <w:rPr>
          <w:lang w:val="en-US" w:eastAsia="en-US" w:bidi="en-US"/>
        </w:rPr>
        <w:t>USB</w:t>
      </w:r>
      <w:r>
        <w:t xml:space="preserve">-токен </w:t>
      </w:r>
      <w:r w:rsidR="000B0408">
        <w:rPr>
          <w:lang w:val="en-US" w:eastAsia="en-US" w:bidi="en-US"/>
        </w:rPr>
        <w:t>JaCarta</w:t>
      </w:r>
      <w:r w:rsidR="000B0408" w:rsidRPr="000B0408">
        <w:rPr>
          <w:lang w:eastAsia="en-US" w:bidi="en-US"/>
        </w:rPr>
        <w:t xml:space="preserve"> </w:t>
      </w:r>
      <w:r w:rsidR="000B0408">
        <w:rPr>
          <w:lang w:val="en-US" w:eastAsia="en-US" w:bidi="en-US"/>
        </w:rPr>
        <w:t>PKI</w:t>
      </w:r>
      <w:r w:rsidR="000B0408" w:rsidRPr="000B0408">
        <w:rPr>
          <w:lang w:eastAsia="en-US" w:bidi="en-US"/>
        </w:rPr>
        <w:t>/</w:t>
      </w:r>
      <w:r w:rsidR="000B0408">
        <w:rPr>
          <w:lang w:eastAsia="en-US" w:bidi="en-US"/>
        </w:rPr>
        <w:t>ГОСТ</w:t>
      </w:r>
      <w:r w:rsidRPr="00364933">
        <w:rPr>
          <w:lang w:eastAsia="en-US" w:bidi="en-US"/>
        </w:rPr>
        <w:t xml:space="preserve"> </w:t>
      </w:r>
      <w:r>
        <w:t>(далее «Товар»), указанный в товарной накладной, по ценам и на сумму в соответствии</w:t>
      </w:r>
    </w:p>
    <w:p w:rsidR="00C72241" w:rsidRDefault="004A246E" w:rsidP="00AA1F2F">
      <w:pPr>
        <w:pStyle w:val="1"/>
        <w:shd w:val="clear" w:color="auto" w:fill="auto"/>
        <w:tabs>
          <w:tab w:val="left" w:pos="426"/>
        </w:tabs>
        <w:spacing w:after="0" w:line="276" w:lineRule="auto"/>
      </w:pPr>
      <w:r>
        <w:t>с условиями настоящего Договора.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Настоящим Поставщик гарантирует, что Товар принадлежит ему на праве собственности, не является предметом залога, под арестом не состоит, свободно от прав третьих лиц. ввезено на территорию РФ с соблюдением всех установленных законодательством РФ правил.</w:t>
      </w:r>
    </w:p>
    <w:p w:rsidR="009B3222" w:rsidRDefault="009B3222" w:rsidP="00AA1F2F">
      <w:pPr>
        <w:pStyle w:val="1"/>
        <w:shd w:val="clear" w:color="auto" w:fill="auto"/>
        <w:spacing w:after="0" w:line="276" w:lineRule="auto"/>
      </w:pPr>
    </w:p>
    <w:p w:rsidR="00C72241" w:rsidRDefault="004A246E" w:rsidP="00AA1F2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Цена и общая сумма договора</w:t>
      </w:r>
    </w:p>
    <w:p w:rsidR="00C72241" w:rsidRDefault="00176ABA" w:rsidP="00176ABA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Цена на поставляемый Товар определяется на основании счета, выставленного</w:t>
      </w:r>
      <w:r w:rsidR="009A2BC6">
        <w:t xml:space="preserve"> поставщиком в адрес покупателя:</w:t>
      </w:r>
    </w:p>
    <w:p w:rsidR="009A2BC6" w:rsidRDefault="009A2BC6" w:rsidP="009A2BC6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76" w:lineRule="auto"/>
      </w:pPr>
      <w:r w:rsidRPr="009A2BC6">
        <w:rPr>
          <w:highlight w:val="yellow"/>
        </w:rPr>
        <w:t>0 рублей 00 коп., в том числе НДС 18% 0 рублей 00 коп. за одну единицу Товара</w:t>
      </w:r>
      <w:r>
        <w:t>;</w:t>
      </w:r>
    </w:p>
    <w:p w:rsidR="009A2BC6" w:rsidRPr="009A2BC6" w:rsidRDefault="009A2BC6" w:rsidP="009A2BC6">
      <w:pPr>
        <w:pStyle w:val="1"/>
        <w:shd w:val="clear" w:color="auto" w:fill="auto"/>
        <w:tabs>
          <w:tab w:val="left" w:pos="284"/>
        </w:tabs>
        <w:spacing w:after="0" w:line="276" w:lineRule="auto"/>
        <w:rPr>
          <w:color w:val="auto"/>
        </w:rPr>
      </w:pPr>
      <w:r w:rsidRPr="009A2BC6">
        <w:t>-  стоимость доставки, погрузки/разгрузки, стоимость упаковки, маркировки, документации включена  в общую стоимость Товара.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Цены на Товар, указанные в выставленном Поставщиком счете, не подлежат изменению в течение срока действия Договора.</w:t>
      </w:r>
    </w:p>
    <w:p w:rsidR="009B3222" w:rsidRDefault="009B3222" w:rsidP="00AA1F2F">
      <w:pPr>
        <w:pStyle w:val="1"/>
        <w:shd w:val="clear" w:color="auto" w:fill="auto"/>
        <w:spacing w:after="0" w:line="276" w:lineRule="auto"/>
      </w:pPr>
    </w:p>
    <w:p w:rsidR="00C72241" w:rsidRDefault="004A246E" w:rsidP="00AA1F2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Условия платежа и порядок расчетов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Покупатель производит предоплату за Товар в размере 100% (Ста процентов) (включая НДС 18 %, а также другие расходы Поставщика, связанные с доставкой Товара) суммы настоящего Договора, на основании выставленного Поставщиком счета, путем безналичного перевода указанной суммы на расчетный счет Поставщика, в течение 3 (Трех) банковских дней с момента получения счета от Поставщика.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Днем оплаты считается день поступления денежных средств на расчетный счет Поставщика.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Оплачивая выставленный Поставщиком счет, Покупатель соглашается со всеми условия</w:t>
      </w:r>
      <w:r>
        <w:softHyphen/>
        <w:t>ми настоящего Договора.</w:t>
      </w:r>
    </w:p>
    <w:p w:rsidR="009B3222" w:rsidRDefault="009B3222" w:rsidP="00AA1F2F">
      <w:pPr>
        <w:pStyle w:val="1"/>
        <w:shd w:val="clear" w:color="auto" w:fill="auto"/>
        <w:tabs>
          <w:tab w:val="left" w:pos="426"/>
        </w:tabs>
        <w:spacing w:after="0" w:line="276" w:lineRule="auto"/>
      </w:pPr>
    </w:p>
    <w:p w:rsidR="00C72241" w:rsidRDefault="004A246E" w:rsidP="00AA1F2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Сроки и условия поставки Товара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Поставщик обязуется передать Товар Покупателю в течение 5 (Пяти) рабочих дней с даты поступления платежа на расчетный счет Поставщика при наличии товара на складе.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Датой поставки Товара считается дата подписания Покупателем товарной накладной.</w:t>
      </w:r>
    </w:p>
    <w:p w:rsidR="00C72241" w:rsidRDefault="004A246E" w:rsidP="00AA1F2F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76" w:lineRule="auto"/>
      </w:pPr>
      <w:r>
        <w:t>Передача Товара представителю Покупателя осуществляется при наличии доверенности на получение Товара и документа, удостоверяющего его личность.</w:t>
      </w:r>
    </w:p>
    <w:p w:rsidR="00C72241" w:rsidRDefault="004A246E" w:rsidP="00AA1F2F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76" w:lineRule="auto"/>
      </w:pPr>
      <w:r>
        <w:t>В случае обнаружения во время приемки Товара его некомплектности, дефектов или несоответствия качеству Стороны составляют двусторонний Акт, который является основанием для выставления претензии Покупателем. Поставщик обязан рассмотреть претензию в течение 5 (пяти) рабочих дней с даты ее получения. Если от Поставщика по истечении указанного срока не поступило обоснованного отказа, претензия считается принятой Поставщиком.</w:t>
      </w:r>
    </w:p>
    <w:p w:rsidR="00C72241" w:rsidRDefault="004A246E" w:rsidP="00AA1F2F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76" w:lineRule="auto"/>
      </w:pPr>
      <w:r>
        <w:t>В случае предъявления претензии по некомплектности или количеству Товара Покупатель имеет право требовать от Поставщика допоставки Товара.</w:t>
      </w:r>
    </w:p>
    <w:p w:rsidR="00C72241" w:rsidRDefault="004A246E" w:rsidP="00AA1F2F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76" w:lineRule="auto"/>
      </w:pPr>
      <w:r>
        <w:lastRenderedPageBreak/>
        <w:t>Право собственности на купленный товар переходит к Покупателю с момента получения товара Покупателем. Риск случайной гибели несет собственник в соответствии с действующим гражданским законодательством РФ.</w:t>
      </w:r>
    </w:p>
    <w:p w:rsidR="009B3222" w:rsidRDefault="009B3222" w:rsidP="00AA1F2F">
      <w:pPr>
        <w:pStyle w:val="1"/>
        <w:shd w:val="clear" w:color="auto" w:fill="auto"/>
        <w:tabs>
          <w:tab w:val="left" w:pos="426"/>
        </w:tabs>
        <w:spacing w:after="0" w:line="276" w:lineRule="auto"/>
      </w:pPr>
    </w:p>
    <w:p w:rsidR="00C72241" w:rsidRDefault="004A246E" w:rsidP="00AA1F2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Гарантии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Поставщик гарантирует, что поставляемый Товар комплектен, не имеет дефектов и произведен с соблюдением международных норм, патентов и лицензий.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Качество и комплектность Товара должны обеспечивать его эксплуатационные характеристики и соответствовать требованиям, установленным техническими условиями, стандартами, чертежами, при наличии необходимых документов, удостоверяющих качество поставленного Товара.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На весь поставленный Товар Поставщик предоставляет гарантию, действующую в течение 1 (одного) календарного года, начиная с даты подписания товарной накладной.</w:t>
      </w:r>
    </w:p>
    <w:p w:rsidR="009B3222" w:rsidRDefault="009B3222" w:rsidP="00AA1F2F">
      <w:pPr>
        <w:pStyle w:val="1"/>
        <w:shd w:val="clear" w:color="auto" w:fill="auto"/>
        <w:tabs>
          <w:tab w:val="left" w:pos="426"/>
        </w:tabs>
        <w:spacing w:after="0" w:line="276" w:lineRule="auto"/>
      </w:pPr>
    </w:p>
    <w:p w:rsidR="00C72241" w:rsidRDefault="004A246E" w:rsidP="00AA1F2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Ответственность Сторон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В случае просрочки в поставке Товара по Договору Покупатель имеет право потребовать, а Поставщик по требованию обязан уплатить пеню в размере 0,1% от стоимости не постав</w:t>
      </w:r>
      <w:r>
        <w:softHyphen/>
        <w:t>ленного в срок Товара за каждый день просрочки, но не более 10% от суммы Договора. Упла</w:t>
      </w:r>
      <w:r>
        <w:softHyphen/>
        <w:t>та пени не освобождает Поставщика от исполнения обязательств по Договору.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Меры ответственности Сторон, не предусмотренные в Договоре, применяются в соответствии с нормами гражданского законодательства Российской Федерации.</w:t>
      </w:r>
    </w:p>
    <w:p w:rsidR="009B3222" w:rsidRDefault="009B3222" w:rsidP="00AA1F2F">
      <w:pPr>
        <w:pStyle w:val="1"/>
        <w:shd w:val="clear" w:color="auto" w:fill="auto"/>
        <w:tabs>
          <w:tab w:val="left" w:pos="426"/>
        </w:tabs>
        <w:spacing w:after="0" w:line="276" w:lineRule="auto"/>
      </w:pPr>
    </w:p>
    <w:p w:rsidR="00C72241" w:rsidRDefault="004A246E" w:rsidP="00AA1F2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Освобождение от ответственности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Стороны освобождаются от ответственности за частичное или полное не выполнение обязательств по Договору, если такое неисполнение является непосредственным следствием воздействия обстоятельств непреодолимой силы (форс-мажор), которые должны носить чрезвычайный, непредвиденный и неотвратимый характер, возникнуть после заключения Договора и не зависеть от воли Сторон.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При наступлении обстоятельств непреодолимой силы, наличие, начало и срок действия которых письменно подтверждается уполномоченным на то органом Российской Федерации, соответствующая Сторона должна незамедлительно известить о них в письменном виде другую Сторону, при этом оценив их влияние на возможность и срок исполнения обязательств по Договору.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По соглашению Сторон в случае наступления обстоятельств непреодолимой силы сроки исполнения обязательств по Договору могут быть отодвинуты соразмерно времени, в течение которого действовали форс-мажорные обстоятельства.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В случае, когда обстоятельства непреодолимой силы будут продолжаться более двух месяцев и Стороны не смогут принять решение о дальнейших согласованных действиях по исполнению Договора, каждая из Сторон имеет право прекратить действие Договора в отношении обязательств, невыполнение которых было обусловлено форс-мажорными обстоятельствами. При этом Поставщик обязан в течение 10 (десяти) банковских дней вернуть Покупателю денежные средства, ранее уплаченные Покупателем за Товар, поставка которого оказалось невозможной вследствие форс-мажорных обстоятельств. При этом Стороны производят взаиморасчеты без возмещения убытков.</w:t>
      </w:r>
    </w:p>
    <w:p w:rsidR="00F22AFF" w:rsidRDefault="00F22AFF" w:rsidP="00AA1F2F">
      <w:pPr>
        <w:pStyle w:val="1"/>
        <w:shd w:val="clear" w:color="auto" w:fill="auto"/>
        <w:tabs>
          <w:tab w:val="left" w:pos="426"/>
        </w:tabs>
        <w:spacing w:after="0" w:line="276" w:lineRule="auto"/>
      </w:pPr>
    </w:p>
    <w:p w:rsidR="00C72241" w:rsidRDefault="004A246E" w:rsidP="00AA1F2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Арбитраж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Поставщик и Покупатель примут меры к разрешению путем переговоров всех споров и разногласий, которые могут возникнуть из Договора или в связи с ним.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Претензионный порядок разрешения споров является обязательным. Срок ответа на претензию - 10 (десять) рабочих дней с момента ее получения Стороной.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В случае если Стороны не смогут прийти к соглашению, то все споры и разногласия подлежат рассмотрению в Арбитражном суде города Москвы.</w:t>
      </w:r>
    </w:p>
    <w:p w:rsidR="009B3222" w:rsidRDefault="009B3222" w:rsidP="00AA1F2F">
      <w:pPr>
        <w:pStyle w:val="1"/>
        <w:shd w:val="clear" w:color="auto" w:fill="auto"/>
        <w:tabs>
          <w:tab w:val="left" w:pos="426"/>
        </w:tabs>
        <w:spacing w:after="0" w:line="276" w:lineRule="auto"/>
      </w:pPr>
    </w:p>
    <w:p w:rsidR="00C72241" w:rsidRDefault="004A246E" w:rsidP="00AA1F2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Условия конфиденциальности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 xml:space="preserve">Каждая из Сторон обязуется не раскрывать третьим лицам без письменного согласования с другой </w:t>
      </w:r>
      <w:r>
        <w:lastRenderedPageBreak/>
        <w:t>Стороной любую информацию, касающуюся другой Стороны, ставшую доступной ей в связи с исполнением Договора.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Любой ущерб, вызванный разглашением указанной в пункте 9.1 информации, возмещается виновной в разглашении этой информации Стороной в соответствии с действующим законодательством Российской Федерации.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</w:pPr>
      <w:r>
        <w:t>Обязательства, касающиеся соблюдения условий настоящей статьи, действуют без ограничения срока.</w:t>
      </w:r>
    </w:p>
    <w:p w:rsidR="009B3222" w:rsidRDefault="009B3222" w:rsidP="00AA1F2F">
      <w:pPr>
        <w:pStyle w:val="1"/>
        <w:shd w:val="clear" w:color="auto" w:fill="auto"/>
        <w:tabs>
          <w:tab w:val="left" w:pos="426"/>
        </w:tabs>
        <w:spacing w:after="0" w:line="276" w:lineRule="auto"/>
        <w:ind w:left="20" w:right="260"/>
      </w:pPr>
    </w:p>
    <w:p w:rsidR="00C72241" w:rsidRDefault="004A246E" w:rsidP="00AA1F2F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20"/>
      </w:pPr>
      <w:r>
        <w:t>Прочие условия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20"/>
      </w:pPr>
      <w:r>
        <w:t>Ни одна из Сторон не может передавать третьей стороне своих обязательств по Договору без предварительного письменного согласия другой Стороны.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20"/>
      </w:pPr>
      <w:r>
        <w:t>Во всем остальном, что не урегулировано Договором, Стороны будут руководствоваться законодательством Российской Федерации.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20"/>
      </w:pPr>
      <w:r>
        <w:t>Настоящий договор является договором присоединения в соответствии со ст. 428 ГК РФ, т.е. его условия могут быть приняты не иначе как путем присоединения к предложенному до</w:t>
      </w:r>
      <w:r>
        <w:softHyphen/>
        <w:t>говору в целом.</w:t>
      </w:r>
    </w:p>
    <w:p w:rsidR="00C72241" w:rsidRDefault="004A246E" w:rsidP="00AA1F2F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23"/>
      </w:pPr>
      <w:r>
        <w:t xml:space="preserve">Условия настоящего договора являются </w:t>
      </w:r>
      <w:r w:rsidR="00176ABA">
        <w:t xml:space="preserve">публичной </w:t>
      </w:r>
      <w:r>
        <w:t xml:space="preserve">офертой. Акцептом настоящей </w:t>
      </w:r>
      <w:r w:rsidR="00176ABA">
        <w:t xml:space="preserve">публичной </w:t>
      </w:r>
      <w:r>
        <w:t>оферты является оплата выставленного Поставщиком счета.</w:t>
      </w:r>
    </w:p>
    <w:p w:rsidR="009B3222" w:rsidRDefault="009B3222" w:rsidP="009B3222">
      <w:pPr>
        <w:pStyle w:val="1"/>
        <w:shd w:val="clear" w:color="auto" w:fill="auto"/>
        <w:spacing w:after="0" w:line="274" w:lineRule="exact"/>
        <w:ind w:left="20" w:right="26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564"/>
      </w:tblGrid>
      <w:tr w:rsidR="009B3222" w:rsidTr="009B3222">
        <w:tc>
          <w:tcPr>
            <w:tcW w:w="4928" w:type="dxa"/>
          </w:tcPr>
          <w:p w:rsidR="009B3222" w:rsidRP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  <w:rPr>
                <w:b/>
              </w:rPr>
            </w:pPr>
            <w:r w:rsidRPr="009B3222">
              <w:rPr>
                <w:b/>
              </w:rPr>
              <w:t>Поставщик: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>Наименование: АО «Аналитический центр»</w:t>
            </w:r>
          </w:p>
          <w:p w:rsidR="009B3222" w:rsidRDefault="003178CB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>ИНН / КПП: 5260270696 / 7709</w:t>
            </w:r>
            <w:r w:rsidR="009B3222">
              <w:t>01001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 xml:space="preserve">Юридический адрес: </w:t>
            </w:r>
            <w:r w:rsidR="003178CB" w:rsidRPr="003178CB">
              <w:t>105005, г. Москва, ул. Радио, д. 24, корпус 1, пом. V, ком. 23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>Почтовый адрес: 603093, Нижний Новгород г., ул. Родионова, д. 23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 xml:space="preserve">Расчетный счет: </w:t>
            </w:r>
            <w:r w:rsidR="00A65E45">
              <w:t>40702810</w:t>
            </w:r>
            <w:r w:rsidR="0071563E">
              <w:t>942000023935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 xml:space="preserve">В банке: </w:t>
            </w:r>
            <w:r w:rsidR="0071563E">
              <w:t>Волго-Вятский Банк ПАО Сбербанк</w:t>
            </w:r>
          </w:p>
          <w:p w:rsidR="00016F6F" w:rsidRDefault="00016F6F" w:rsidP="00016F6F">
            <w:pPr>
              <w:pStyle w:val="1"/>
              <w:spacing w:after="0" w:line="276" w:lineRule="auto"/>
            </w:pPr>
            <w:r>
              <w:t xml:space="preserve">Корр. счет: </w:t>
            </w:r>
            <w:r w:rsidR="0071563E">
              <w:t>30101810900000000603</w:t>
            </w:r>
          </w:p>
          <w:p w:rsidR="009B3222" w:rsidRDefault="00016F6F" w:rsidP="00016F6F">
            <w:pPr>
              <w:pStyle w:val="1"/>
              <w:spacing w:after="0" w:line="276" w:lineRule="auto"/>
            </w:pPr>
            <w:r>
              <w:t xml:space="preserve">БИК:   </w:t>
            </w:r>
            <w:r w:rsidR="0071563E">
              <w:t>042202603</w:t>
            </w:r>
          </w:p>
          <w:p w:rsidR="00016F6F" w:rsidRDefault="00016F6F" w:rsidP="00016F6F">
            <w:pPr>
              <w:pStyle w:val="1"/>
              <w:spacing w:after="0" w:line="276" w:lineRule="auto"/>
            </w:pPr>
            <w:bookmarkStart w:id="0" w:name="_GoBack"/>
            <w:bookmarkEnd w:id="0"/>
          </w:p>
          <w:p w:rsidR="00016F6F" w:rsidRDefault="00016F6F" w:rsidP="00016F6F">
            <w:pPr>
              <w:pStyle w:val="1"/>
              <w:spacing w:after="0" w:line="276" w:lineRule="auto"/>
            </w:pPr>
          </w:p>
          <w:p w:rsidR="009B3222" w:rsidRDefault="009B3222" w:rsidP="009B3222">
            <w:pPr>
              <w:pStyle w:val="1"/>
              <w:tabs>
                <w:tab w:val="left" w:pos="4712"/>
              </w:tabs>
              <w:spacing w:after="0" w:line="276" w:lineRule="auto"/>
            </w:pPr>
            <w:r>
              <w:t>Генеральный директор</w:t>
            </w:r>
          </w:p>
          <w:p w:rsidR="009B3222" w:rsidRDefault="009B3222" w:rsidP="009B3222">
            <w:pPr>
              <w:pStyle w:val="1"/>
              <w:tabs>
                <w:tab w:val="left" w:pos="4712"/>
              </w:tabs>
              <w:spacing w:after="0" w:line="276" w:lineRule="auto"/>
            </w:pPr>
          </w:p>
          <w:p w:rsidR="009B3222" w:rsidRDefault="009B3222" w:rsidP="009B3222">
            <w:pPr>
              <w:pStyle w:val="1"/>
              <w:shd w:val="clear" w:color="auto" w:fill="auto"/>
              <w:tabs>
                <w:tab w:val="left" w:pos="4712"/>
              </w:tabs>
              <w:spacing w:after="0" w:line="276" w:lineRule="auto"/>
            </w:pPr>
            <w:r>
              <w:t>_________________/Белоногов С.Ю./</w:t>
            </w:r>
          </w:p>
        </w:tc>
        <w:tc>
          <w:tcPr>
            <w:tcW w:w="4645" w:type="dxa"/>
          </w:tcPr>
          <w:p w:rsidR="009B3222" w:rsidRP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  <w:rPr>
                <w:b/>
              </w:rPr>
            </w:pPr>
            <w:r w:rsidRPr="009B3222">
              <w:rPr>
                <w:b/>
              </w:rPr>
              <w:t>Покупатель: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 xml:space="preserve">Наименование: 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>ИНН/КПП: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 xml:space="preserve">Юридический адрес: 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>Почтовый адрес: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 xml:space="preserve">Расчетный счет: 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>В банке:</w:t>
            </w:r>
          </w:p>
          <w:p w:rsidR="009B3222" w:rsidRDefault="009B3222" w:rsidP="009B3222">
            <w:pPr>
              <w:pStyle w:val="1"/>
              <w:shd w:val="clear" w:color="auto" w:fill="auto"/>
              <w:spacing w:after="0" w:line="276" w:lineRule="auto"/>
              <w:jc w:val="left"/>
            </w:pPr>
            <w:r>
              <w:t>Корр. Счет:</w:t>
            </w:r>
          </w:p>
          <w:p w:rsidR="009B3222" w:rsidRDefault="009B3222" w:rsidP="009B3222">
            <w:pPr>
              <w:pStyle w:val="1"/>
              <w:spacing w:after="0" w:line="276" w:lineRule="auto"/>
            </w:pPr>
            <w:r>
              <w:t xml:space="preserve">БИК: </w:t>
            </w:r>
          </w:p>
          <w:p w:rsidR="009B3222" w:rsidRDefault="009B3222" w:rsidP="009B3222">
            <w:pPr>
              <w:pStyle w:val="1"/>
              <w:spacing w:after="0" w:line="276" w:lineRule="auto"/>
            </w:pPr>
          </w:p>
          <w:p w:rsidR="009B3222" w:rsidRDefault="009B3222" w:rsidP="009B3222">
            <w:pPr>
              <w:pStyle w:val="1"/>
              <w:spacing w:after="0" w:line="276" w:lineRule="auto"/>
            </w:pPr>
          </w:p>
          <w:p w:rsidR="009B3222" w:rsidRDefault="009B3222" w:rsidP="009B3222">
            <w:pPr>
              <w:pStyle w:val="1"/>
              <w:spacing w:after="0" w:line="276" w:lineRule="auto"/>
            </w:pPr>
          </w:p>
          <w:p w:rsidR="009B3222" w:rsidRDefault="009B3222" w:rsidP="009B3222">
            <w:pPr>
              <w:pStyle w:val="1"/>
              <w:spacing w:after="0" w:line="276" w:lineRule="auto"/>
            </w:pPr>
          </w:p>
          <w:p w:rsidR="009B3222" w:rsidRDefault="00AA1F2F" w:rsidP="009B3222">
            <w:pPr>
              <w:pStyle w:val="1"/>
              <w:tabs>
                <w:tab w:val="left" w:pos="4712"/>
              </w:tabs>
              <w:spacing w:after="0" w:line="276" w:lineRule="auto"/>
            </w:pPr>
            <w:r w:rsidRPr="00AA1F2F">
              <w:rPr>
                <w:highlight w:val="yellow"/>
              </w:rPr>
              <w:t>_________________</w:t>
            </w:r>
          </w:p>
          <w:p w:rsidR="009B3222" w:rsidRDefault="009B3222" w:rsidP="009B3222">
            <w:pPr>
              <w:pStyle w:val="1"/>
              <w:tabs>
                <w:tab w:val="left" w:pos="4712"/>
              </w:tabs>
              <w:spacing w:after="0" w:line="276" w:lineRule="auto"/>
            </w:pPr>
          </w:p>
          <w:p w:rsidR="009B3222" w:rsidRDefault="009B3222" w:rsidP="00AA1F2F">
            <w:pPr>
              <w:pStyle w:val="1"/>
              <w:spacing w:after="0" w:line="276" w:lineRule="auto"/>
            </w:pPr>
            <w:r w:rsidRPr="00AA1F2F">
              <w:rPr>
                <w:highlight w:val="yellow"/>
              </w:rPr>
              <w:t>_________________</w:t>
            </w:r>
            <w:r>
              <w:t>/</w:t>
            </w:r>
            <w:r w:rsidR="00AA1F2F" w:rsidRPr="00AA1F2F">
              <w:rPr>
                <w:highlight w:val="yellow"/>
              </w:rPr>
              <w:t>_____________</w:t>
            </w:r>
            <w:r>
              <w:t>/</w:t>
            </w:r>
          </w:p>
        </w:tc>
      </w:tr>
    </w:tbl>
    <w:p w:rsidR="00C72241" w:rsidRDefault="00C72241" w:rsidP="009B3222">
      <w:pPr>
        <w:pStyle w:val="1"/>
        <w:shd w:val="clear" w:color="auto" w:fill="auto"/>
        <w:spacing w:after="0" w:line="274" w:lineRule="exact"/>
        <w:ind w:right="260"/>
        <w:rPr>
          <w:sz w:val="2"/>
          <w:szCs w:val="2"/>
        </w:rPr>
      </w:pPr>
    </w:p>
    <w:sectPr w:rsidR="00C72241" w:rsidSect="009B3222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29" w:rsidRDefault="00A32929" w:rsidP="00C72241">
      <w:r>
        <w:separator/>
      </w:r>
    </w:p>
  </w:endnote>
  <w:endnote w:type="continuationSeparator" w:id="0">
    <w:p w:rsidR="00A32929" w:rsidRDefault="00A32929" w:rsidP="00C7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29" w:rsidRDefault="00A32929"/>
  </w:footnote>
  <w:footnote w:type="continuationSeparator" w:id="0">
    <w:p w:rsidR="00A32929" w:rsidRDefault="00A329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3C36"/>
    <w:multiLevelType w:val="multilevel"/>
    <w:tmpl w:val="522CC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2F5BDD"/>
    <w:multiLevelType w:val="multilevel"/>
    <w:tmpl w:val="E690CB9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735BED"/>
    <w:multiLevelType w:val="multilevel"/>
    <w:tmpl w:val="9588E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41"/>
    <w:rsid w:val="00016F6F"/>
    <w:rsid w:val="00062C48"/>
    <w:rsid w:val="000B0408"/>
    <w:rsid w:val="000B2722"/>
    <w:rsid w:val="000C23DC"/>
    <w:rsid w:val="00176ABA"/>
    <w:rsid w:val="001A6796"/>
    <w:rsid w:val="002839AC"/>
    <w:rsid w:val="002B05AC"/>
    <w:rsid w:val="002B7AD4"/>
    <w:rsid w:val="003178CB"/>
    <w:rsid w:val="00364933"/>
    <w:rsid w:val="003F282A"/>
    <w:rsid w:val="004A246E"/>
    <w:rsid w:val="00703DD0"/>
    <w:rsid w:val="0071563E"/>
    <w:rsid w:val="008131BC"/>
    <w:rsid w:val="00853C77"/>
    <w:rsid w:val="009A2BC6"/>
    <w:rsid w:val="009B3222"/>
    <w:rsid w:val="00A0291B"/>
    <w:rsid w:val="00A32929"/>
    <w:rsid w:val="00A65E45"/>
    <w:rsid w:val="00AA1F2F"/>
    <w:rsid w:val="00AC79AC"/>
    <w:rsid w:val="00B31EDB"/>
    <w:rsid w:val="00BA2732"/>
    <w:rsid w:val="00BB7733"/>
    <w:rsid w:val="00C72241"/>
    <w:rsid w:val="00D9042B"/>
    <w:rsid w:val="00F22AFF"/>
    <w:rsid w:val="00F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ECBBA-8267-4539-8389-7E1E517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22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24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72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C72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2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72241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C722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F22A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2AF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22A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2AFF"/>
    <w:rPr>
      <w:color w:val="000000"/>
    </w:rPr>
  </w:style>
  <w:style w:type="table" w:styleId="ac">
    <w:name w:val="Table Grid"/>
    <w:basedOn w:val="a1"/>
    <w:uiPriority w:val="59"/>
    <w:rsid w:val="009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Dolovskova.n</dc:creator>
  <cp:lastModifiedBy>Коломиец Мария Викторовна</cp:lastModifiedBy>
  <cp:revision>2</cp:revision>
  <dcterms:created xsi:type="dcterms:W3CDTF">2016-12-12T08:31:00Z</dcterms:created>
  <dcterms:modified xsi:type="dcterms:W3CDTF">2016-12-12T08:31:00Z</dcterms:modified>
</cp:coreProperties>
</file>